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25" w:rsidRPr="00253836" w:rsidRDefault="00041725" w:rsidP="00041725">
      <w:pPr>
        <w:pStyle w:val="intro"/>
        <w:rPr>
          <w:rFonts w:ascii="Bookman Old Style" w:hAnsi="Bookman Old Style"/>
          <w:sz w:val="28"/>
          <w:szCs w:val="28"/>
        </w:rPr>
      </w:pPr>
      <w:proofErr w:type="spellStart"/>
      <w:r w:rsidRPr="00253836">
        <w:rPr>
          <w:rFonts w:ascii="Bookman Old Style" w:hAnsi="Bookman Old Style"/>
          <w:sz w:val="28"/>
          <w:szCs w:val="28"/>
        </w:rPr>
        <w:t>Buycard</w:t>
      </w:r>
      <w:proofErr w:type="spellEnd"/>
      <w:r w:rsidRPr="00253836">
        <w:rPr>
          <w:rFonts w:ascii="Bookman Old Style" w:hAnsi="Bookman Old Style"/>
          <w:sz w:val="28"/>
          <w:szCs w:val="28"/>
        </w:rPr>
        <w:t xml:space="preserve"> Reconciliation:</w:t>
      </w:r>
    </w:p>
    <w:p w:rsidR="00872B18" w:rsidRDefault="00041725" w:rsidP="00872B18">
      <w:pPr>
        <w:pStyle w:val="content"/>
        <w:rPr>
          <w:rFonts w:ascii="Bookman Old Style" w:hAnsi="Bookman Old Style"/>
        </w:rPr>
      </w:pPr>
      <w:r w:rsidRPr="00253836">
        <w:rPr>
          <w:rFonts w:ascii="Bookman Old Style" w:hAnsi="Bookman Old Style"/>
        </w:rPr>
        <w:t>The cardholder will be notified via email of an on-line statement o</w:t>
      </w:r>
      <w:r w:rsidR="00253836">
        <w:rPr>
          <w:rFonts w:ascii="Bookman Old Style" w:hAnsi="Bookman Old Style"/>
        </w:rPr>
        <w:t>r</w:t>
      </w:r>
      <w:r w:rsidRPr="00253836">
        <w:rPr>
          <w:rFonts w:ascii="Bookman Old Style" w:hAnsi="Bookman Old Style"/>
        </w:rPr>
        <w:t xml:space="preserve"> charges for reconciliation. </w:t>
      </w:r>
      <w:r w:rsidRPr="00253836">
        <w:rPr>
          <w:rFonts w:ascii="Bookman Old Style" w:hAnsi="Bookman Old Style"/>
          <w:highlight w:val="yellow"/>
        </w:rPr>
        <w:t>All statements should be reconciled within three days of receiving this notification</w:t>
      </w:r>
      <w:r w:rsidRPr="00253836">
        <w:rPr>
          <w:rFonts w:ascii="Bookman Old Style" w:hAnsi="Bookman Old Style"/>
        </w:rPr>
        <w:t>.</w:t>
      </w:r>
      <w:r w:rsidR="00D869FA">
        <w:rPr>
          <w:rFonts w:ascii="Bookman Old Style" w:hAnsi="Bookman Old Style"/>
        </w:rPr>
        <w:t xml:space="preserve">  </w:t>
      </w:r>
      <w:r w:rsidR="00B73426">
        <w:rPr>
          <w:rFonts w:ascii="Bookman Old Style" w:hAnsi="Bookman Old Style"/>
        </w:rPr>
        <w:t>Email</w:t>
      </w:r>
      <w:r w:rsidR="00D869FA">
        <w:rPr>
          <w:rFonts w:ascii="Bookman Old Style" w:hAnsi="Bookman Old Style"/>
        </w:rPr>
        <w:t xml:space="preserve"> Example:</w:t>
      </w:r>
    </w:p>
    <w:p w:rsidR="00B153D9" w:rsidRPr="00872B18" w:rsidRDefault="00B153D9" w:rsidP="00872B18">
      <w:pPr>
        <w:pStyle w:val="content"/>
        <w:rPr>
          <w:rFonts w:ascii="Bookman Old Style" w:hAnsi="Bookman Old Style" w:cs="Tahoma"/>
          <w:b/>
          <w:bCs/>
          <w:sz w:val="32"/>
          <w:szCs w:val="32"/>
        </w:rPr>
      </w:pPr>
      <w:r w:rsidRPr="00253836">
        <w:rPr>
          <w:rFonts w:ascii="Bookman Old Style" w:hAnsi="Bookman Old Style" w:cs="Tahoma"/>
          <w:b/>
          <w:bCs/>
          <w:sz w:val="16"/>
          <w:szCs w:val="16"/>
        </w:rPr>
        <w:t>From:</w:t>
      </w:r>
      <w:r w:rsidRPr="00253836">
        <w:rPr>
          <w:rFonts w:ascii="Bookman Old Style" w:hAnsi="Bookman Old Style" w:cs="Tahoma"/>
          <w:sz w:val="16"/>
          <w:szCs w:val="16"/>
        </w:rPr>
        <w:t xml:space="preserve"> Wilson, LaChandra </w:t>
      </w:r>
      <w:r w:rsidRPr="00253836">
        <w:rPr>
          <w:rFonts w:ascii="Bookman Old Style" w:hAnsi="Bookman Old Style" w:cs="Tahoma"/>
          <w:sz w:val="16"/>
          <w:szCs w:val="16"/>
        </w:rPr>
        <w:br/>
      </w:r>
      <w:r w:rsidRPr="00253836">
        <w:rPr>
          <w:rFonts w:ascii="Bookman Old Style" w:hAnsi="Bookman Old Style" w:cs="Tahoma"/>
          <w:b/>
          <w:bCs/>
          <w:sz w:val="16"/>
          <w:szCs w:val="16"/>
        </w:rPr>
        <w:t>Sent:</w:t>
      </w:r>
      <w:r w:rsidRPr="00253836">
        <w:rPr>
          <w:rFonts w:ascii="Bookman Old Style" w:hAnsi="Bookman Old Style" w:cs="Tahoma"/>
          <w:sz w:val="16"/>
          <w:szCs w:val="16"/>
        </w:rPr>
        <w:t xml:space="preserve"> Friday, February 26, 2010 2:08 PM</w:t>
      </w:r>
      <w:r w:rsidRPr="00253836">
        <w:rPr>
          <w:rFonts w:ascii="Bookman Old Style" w:hAnsi="Bookman Old Style" w:cs="Tahoma"/>
          <w:sz w:val="16"/>
          <w:szCs w:val="16"/>
        </w:rPr>
        <w:br/>
      </w:r>
      <w:r w:rsidRPr="00253836">
        <w:rPr>
          <w:rFonts w:ascii="Bookman Old Style" w:hAnsi="Bookman Old Style" w:cs="Tahoma"/>
          <w:b/>
          <w:bCs/>
          <w:sz w:val="16"/>
          <w:szCs w:val="16"/>
        </w:rPr>
        <w:t>To:</w:t>
      </w:r>
      <w:r w:rsidRPr="00253836">
        <w:rPr>
          <w:rFonts w:ascii="Bookman Old Style" w:hAnsi="Bookman Old Style" w:cs="Tahoma"/>
          <w:sz w:val="16"/>
          <w:szCs w:val="16"/>
        </w:rPr>
        <w:t xml:space="preserve"> Momon, Shannon; Hensley, </w:t>
      </w:r>
      <w:proofErr w:type="gramStart"/>
      <w:r w:rsidRPr="00253836">
        <w:rPr>
          <w:rFonts w:ascii="Bookman Old Style" w:hAnsi="Bookman Old Style" w:cs="Tahoma"/>
          <w:sz w:val="16"/>
          <w:szCs w:val="16"/>
        </w:rPr>
        <w:t>Summer</w:t>
      </w:r>
      <w:proofErr w:type="gramEnd"/>
      <w:r w:rsidRPr="00253836">
        <w:rPr>
          <w:rFonts w:ascii="Bookman Old Style" w:hAnsi="Bookman Old Style" w:cs="Tahoma"/>
          <w:sz w:val="16"/>
          <w:szCs w:val="16"/>
        </w:rPr>
        <w:t>; Ortiz, Sandra; Davis, Paul</w:t>
      </w:r>
      <w:r w:rsidRPr="00253836">
        <w:rPr>
          <w:rFonts w:ascii="Bookman Old Style" w:hAnsi="Bookman Old Style" w:cs="Tahoma"/>
          <w:sz w:val="16"/>
          <w:szCs w:val="16"/>
        </w:rPr>
        <w:br/>
      </w:r>
      <w:r w:rsidRPr="00253836">
        <w:rPr>
          <w:rFonts w:ascii="Bookman Old Style" w:hAnsi="Bookman Old Style" w:cs="Tahoma"/>
          <w:b/>
          <w:bCs/>
          <w:sz w:val="16"/>
          <w:szCs w:val="16"/>
        </w:rPr>
        <w:t>Subject:</w:t>
      </w:r>
      <w:r w:rsidRPr="00253836">
        <w:rPr>
          <w:rFonts w:ascii="Bookman Old Style" w:hAnsi="Bookman Old Style" w:cs="Tahoma"/>
          <w:sz w:val="16"/>
          <w:szCs w:val="16"/>
        </w:rPr>
        <w:t xml:space="preserve"> WEEKLY REMINDER - BuyCard Transactions Pending Reconciliation - Statement 03/05/2010</w:t>
      </w:r>
    </w:p>
    <w:p w:rsidR="00B153D9" w:rsidRPr="00253836" w:rsidRDefault="00B153D9" w:rsidP="00B153D9">
      <w:pPr>
        <w:rPr>
          <w:rFonts w:ascii="Bookman Old Style" w:hAnsi="Bookman Old Style"/>
          <w:sz w:val="16"/>
          <w:szCs w:val="16"/>
        </w:rPr>
      </w:pPr>
      <w:r w:rsidRPr="00253836">
        <w:rPr>
          <w:rStyle w:val="Emphasis"/>
          <w:rFonts w:ascii="Bookman Old Style" w:hAnsi="Bookman Old Style"/>
          <w:sz w:val="16"/>
          <w:szCs w:val="16"/>
        </w:rPr>
        <w:t>As a reminder, the following transactions on the March 2010 statement have posted to your departmental BuyCard accounts and are not reconciled against a purchase order:    </w:t>
      </w:r>
    </w:p>
    <w:tbl>
      <w:tblPr>
        <w:tblW w:w="9944" w:type="dxa"/>
        <w:tblInd w:w="198" w:type="dxa"/>
        <w:tblCellMar>
          <w:left w:w="0" w:type="dxa"/>
          <w:right w:w="0" w:type="dxa"/>
        </w:tblCellMar>
        <w:tblLook w:val="04A0"/>
      </w:tblPr>
      <w:tblGrid>
        <w:gridCol w:w="1004"/>
        <w:gridCol w:w="1246"/>
        <w:gridCol w:w="1574"/>
        <w:gridCol w:w="2430"/>
        <w:gridCol w:w="1170"/>
        <w:gridCol w:w="1710"/>
        <w:gridCol w:w="810"/>
      </w:tblGrid>
      <w:tr w:rsidR="00B153D9" w:rsidRPr="00253836" w:rsidTr="008E1585">
        <w:trPr>
          <w:trHeight w:val="47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8E1585">
            <w:pPr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  <w:t>Bill Date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8E1585">
            <w:pPr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  <w:t>Trans</w:t>
            </w:r>
            <w:r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  <w:t xml:space="preserve"> </w:t>
            </w:r>
            <w:r w:rsidRPr="00253836"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>
            <w:pPr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>
            <w:pPr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  <w:t>Merchant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>
            <w:pPr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  <w:t>Amount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>
            <w:pPr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  <w:t>Account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>
            <w:pPr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b/>
                <w:bCs/>
                <w:sz w:val="16"/>
                <w:szCs w:val="16"/>
              </w:rPr>
              <w:t>PO No.</w:t>
            </w:r>
          </w:p>
        </w:tc>
      </w:tr>
      <w:tr w:rsidR="00B153D9" w:rsidRPr="00253836" w:rsidTr="008E1585">
        <w:trPr>
          <w:trHeight w:val="33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jc w:val="right"/>
              <w:rPr>
                <w:rFonts w:ascii="Bookman Old Style" w:eastAsia="Arial Unicode MS" w:hAnsi="Bookman Old Style" w:cs="Arial Unicode MS"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sz w:val="16"/>
                <w:szCs w:val="16"/>
              </w:rPr>
              <w:t>3/5/2010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jc w:val="right"/>
              <w:rPr>
                <w:rFonts w:ascii="Bookman Old Style" w:eastAsia="Arial Unicode MS" w:hAnsi="Bookman Old Style" w:cs="Arial Unicode MS"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sz w:val="16"/>
                <w:szCs w:val="16"/>
              </w:rPr>
              <w:t>2/12/2010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="Arial Unicode MS" w:hAnsi="Bookman Old Style" w:cs="Arial Unicode MS"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sz w:val="16"/>
                <w:szCs w:val="16"/>
              </w:rPr>
              <w:t>B</w:t>
            </w:r>
            <w:r w:rsidRPr="00253836">
              <w:rPr>
                <w:rFonts w:ascii="Bookman Old Style" w:eastAsia="Arial Unicode MS" w:hAnsi="Bookman Old Style" w:cs="Arial Unicode MS"/>
                <w:color w:val="1F497D" w:themeColor="dark2"/>
                <w:sz w:val="16"/>
                <w:szCs w:val="16"/>
              </w:rPr>
              <w:t>uycard Holder</w:t>
            </w:r>
            <w:r w:rsidRPr="00253836">
              <w:rPr>
                <w:rFonts w:ascii="Bookman Old Style" w:eastAsia="Arial Unicode MS" w:hAnsi="Bookman Old Style" w:cs="Arial Unicode MS"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="Arial Unicode MS" w:hAnsi="Bookman Old Style" w:cs="Arial Unicode MS"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sz w:val="16"/>
                <w:szCs w:val="16"/>
              </w:rPr>
              <w:t>AMAZON MKTPLACE 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D869FA" w:rsidP="00B153D9">
            <w:pPr>
              <w:spacing w:after="0"/>
              <w:jc w:val="right"/>
              <w:rPr>
                <w:rFonts w:ascii="Bookman Old Style" w:eastAsia="Arial Unicode MS" w:hAnsi="Bookman Old Style" w:cs="Arial Unicode MS"/>
                <w:sz w:val="16"/>
                <w:szCs w:val="16"/>
              </w:rPr>
            </w:pPr>
            <w:r>
              <w:rPr>
                <w:rFonts w:ascii="Bookman Old Style" w:eastAsia="Arial Unicode MS" w:hAnsi="Bookman Old Style" w:cs="Arial Unicode MS"/>
                <w:sz w:val="16"/>
                <w:szCs w:val="16"/>
              </w:rPr>
              <w:t>160.00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="Arial Unicode MS" w:hAnsi="Bookman Old Style" w:cs="Arial Unicode MS"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sz w:val="16"/>
                <w:szCs w:val="16"/>
              </w:rPr>
              <w:t>************0</w:t>
            </w:r>
            <w:r w:rsidRPr="00253836">
              <w:rPr>
                <w:rFonts w:ascii="Bookman Old Style" w:eastAsia="Arial Unicode MS" w:hAnsi="Bookman Old Style" w:cs="Arial Unicode MS"/>
                <w:color w:val="1F497D" w:themeColor="dark2"/>
                <w:sz w:val="16"/>
                <w:szCs w:val="16"/>
              </w:rPr>
              <w:t>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Theme="minorEastAsia" w:hAnsi="Bookman Old Style"/>
                <w:sz w:val="16"/>
                <w:szCs w:val="16"/>
              </w:rPr>
            </w:pPr>
          </w:p>
        </w:tc>
      </w:tr>
      <w:tr w:rsidR="00B153D9" w:rsidRPr="00253836" w:rsidTr="008E1585">
        <w:trPr>
          <w:trHeight w:val="8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jc w:val="right"/>
              <w:rPr>
                <w:rFonts w:ascii="Bookman Old Style" w:eastAsia="Arial Unicode MS" w:hAnsi="Bookman Old Style" w:cs="Arial Unicode MS"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sz w:val="16"/>
                <w:szCs w:val="16"/>
              </w:rPr>
              <w:t>3/5/2010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jc w:val="right"/>
              <w:rPr>
                <w:rFonts w:ascii="Bookman Old Style" w:eastAsia="Arial Unicode MS" w:hAnsi="Bookman Old Style" w:cs="Arial Unicode MS"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sz w:val="16"/>
                <w:szCs w:val="16"/>
              </w:rPr>
              <w:t>2/15/2010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="Arial Unicode MS" w:hAnsi="Bookman Old Style" w:cs="Arial Unicode MS"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sz w:val="16"/>
                <w:szCs w:val="16"/>
              </w:rPr>
              <w:t>B</w:t>
            </w:r>
            <w:r w:rsidRPr="00253836">
              <w:rPr>
                <w:rFonts w:ascii="Bookman Old Style" w:eastAsia="Arial Unicode MS" w:hAnsi="Bookman Old Style" w:cs="Arial Unicode MS"/>
                <w:color w:val="1F497D" w:themeColor="dark2"/>
                <w:sz w:val="16"/>
                <w:szCs w:val="16"/>
              </w:rPr>
              <w:t>uycard Holder</w:t>
            </w:r>
            <w:r w:rsidRPr="00253836">
              <w:rPr>
                <w:rFonts w:ascii="Bookman Old Style" w:eastAsia="Arial Unicode MS" w:hAnsi="Bookman Old Style" w:cs="Arial Unicode MS"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="Arial Unicode MS" w:hAnsi="Bookman Old Style" w:cs="Arial Unicode MS"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sz w:val="16"/>
                <w:szCs w:val="16"/>
              </w:rPr>
              <w:t>AMAZON MKTPLACE 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D869FA">
            <w:pPr>
              <w:spacing w:after="0"/>
              <w:jc w:val="right"/>
              <w:rPr>
                <w:rFonts w:ascii="Bookman Old Style" w:eastAsia="Arial Unicode MS" w:hAnsi="Bookman Old Style" w:cs="Arial Unicode MS"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sz w:val="16"/>
                <w:szCs w:val="16"/>
              </w:rPr>
              <w:t>43.84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="Arial Unicode MS" w:hAnsi="Bookman Old Style" w:cs="Arial Unicode MS"/>
                <w:sz w:val="16"/>
                <w:szCs w:val="16"/>
              </w:rPr>
            </w:pPr>
            <w:r w:rsidRPr="00253836">
              <w:rPr>
                <w:rFonts w:ascii="Bookman Old Style" w:eastAsia="Arial Unicode MS" w:hAnsi="Bookman Old Style" w:cs="Arial Unicode MS"/>
                <w:sz w:val="16"/>
                <w:szCs w:val="16"/>
              </w:rPr>
              <w:t>************0</w:t>
            </w:r>
            <w:r w:rsidRPr="00253836">
              <w:rPr>
                <w:rFonts w:ascii="Bookman Old Style" w:eastAsia="Arial Unicode MS" w:hAnsi="Bookman Old Style" w:cs="Arial Unicode MS"/>
                <w:color w:val="1F497D" w:themeColor="dark2"/>
                <w:sz w:val="16"/>
                <w:szCs w:val="16"/>
              </w:rPr>
              <w:t>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Theme="minorEastAsia" w:hAnsi="Bookman Old Style"/>
                <w:sz w:val="16"/>
                <w:szCs w:val="16"/>
              </w:rPr>
            </w:pPr>
          </w:p>
        </w:tc>
      </w:tr>
      <w:tr w:rsidR="00B153D9" w:rsidRPr="00253836" w:rsidTr="008E1585">
        <w:trPr>
          <w:trHeight w:val="88"/>
        </w:trPr>
        <w:tc>
          <w:tcPr>
            <w:tcW w:w="1004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jc w:val="right"/>
              <w:rPr>
                <w:rFonts w:ascii="Bookman Old Style" w:eastAsia="Arial Unicode MS" w:hAnsi="Bookman Old Style" w:cs="Arial Unicode MS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jc w:val="right"/>
              <w:rPr>
                <w:rFonts w:ascii="Bookman Old Style" w:eastAsia="Arial Unicode MS" w:hAnsi="Bookman Old Style" w:cs="Arial Unicode MS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="Arial Unicode MS" w:hAnsi="Bookman Old Style" w:cs="Arial Unicode MS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="Arial Unicode MS" w:hAnsi="Bookman Old Style" w:cs="Arial Unicode MS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jc w:val="right"/>
              <w:rPr>
                <w:rFonts w:ascii="Bookman Old Style" w:eastAsia="Arial Unicode MS" w:hAnsi="Bookman Old Style" w:cs="Arial Unicode MS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="Arial Unicode MS" w:hAnsi="Bookman Old Style" w:cs="Arial Unicode MS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Theme="minorEastAsia" w:hAnsi="Bookman Old Style"/>
              </w:rPr>
            </w:pPr>
          </w:p>
        </w:tc>
      </w:tr>
      <w:tr w:rsidR="00B153D9" w:rsidRPr="00253836" w:rsidTr="008E1585">
        <w:trPr>
          <w:trHeight w:val="17"/>
        </w:trPr>
        <w:tc>
          <w:tcPr>
            <w:tcW w:w="10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jc w:val="right"/>
              <w:rPr>
                <w:rFonts w:ascii="Bookman Old Style" w:eastAsia="Arial Unicode MS" w:hAnsi="Bookman Old Style" w:cs="Arial Unicode MS"/>
                <w:sz w:val="20"/>
                <w:szCs w:val="20"/>
              </w:rPr>
            </w:pPr>
          </w:p>
        </w:tc>
        <w:tc>
          <w:tcPr>
            <w:tcW w:w="12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jc w:val="right"/>
              <w:rPr>
                <w:rFonts w:ascii="Bookman Old Style" w:eastAsia="Arial Unicode MS" w:hAnsi="Bookman Old Style" w:cs="Arial Unicode MS"/>
                <w:sz w:val="20"/>
                <w:szCs w:val="20"/>
              </w:rPr>
            </w:pPr>
          </w:p>
        </w:tc>
        <w:tc>
          <w:tcPr>
            <w:tcW w:w="15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="Arial Unicode MS" w:hAnsi="Bookman Old Style" w:cs="Arial Unicode MS"/>
                <w:sz w:val="20"/>
                <w:szCs w:val="20"/>
              </w:rPr>
            </w:pPr>
          </w:p>
        </w:tc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="Arial Unicode MS" w:hAnsi="Bookman Old Style" w:cs="Arial Unicode MS"/>
                <w:sz w:val="20"/>
                <w:szCs w:val="20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jc w:val="right"/>
              <w:rPr>
                <w:rFonts w:ascii="Bookman Old Style" w:eastAsia="Arial Unicode MS" w:hAnsi="Bookman Old Style" w:cs="Arial Unicode MS"/>
                <w:sz w:val="20"/>
                <w:szCs w:val="20"/>
              </w:rPr>
            </w:pP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="Arial Unicode MS" w:hAnsi="Bookman Old Style" w:cs="Arial Unicode MS"/>
                <w:sz w:val="20"/>
                <w:szCs w:val="20"/>
              </w:rPr>
            </w:pPr>
          </w:p>
        </w:tc>
        <w:tc>
          <w:tcPr>
            <w:tcW w:w="8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53D9" w:rsidRPr="00253836" w:rsidRDefault="00B153D9" w:rsidP="00B153D9">
            <w:pPr>
              <w:spacing w:after="0"/>
              <w:rPr>
                <w:rFonts w:ascii="Bookman Old Style" w:eastAsiaTheme="minorEastAsia" w:hAnsi="Bookman Old Style"/>
              </w:rPr>
            </w:pPr>
          </w:p>
        </w:tc>
      </w:tr>
    </w:tbl>
    <w:p w:rsidR="00872B18" w:rsidRDefault="00041725" w:rsidP="00872B18">
      <w:pPr>
        <w:pStyle w:val="content"/>
        <w:numPr>
          <w:ilvl w:val="0"/>
          <w:numId w:val="2"/>
        </w:numPr>
        <w:rPr>
          <w:rStyle w:val="style181"/>
          <w:rFonts w:ascii="Bookman Old Style" w:hAnsi="Bookman Old Style"/>
        </w:rPr>
      </w:pPr>
      <w:r w:rsidRPr="00253836">
        <w:rPr>
          <w:rStyle w:val="style181"/>
          <w:rFonts w:ascii="Bookman Old Style" w:hAnsi="Bookman Old Style"/>
          <w:b/>
          <w:color w:val="auto"/>
        </w:rPr>
        <w:t>IMPORTANT:</w:t>
      </w:r>
      <w:r w:rsidRPr="00253836">
        <w:rPr>
          <w:rStyle w:val="style181"/>
          <w:rFonts w:ascii="Bookman Old Style" w:hAnsi="Bookman Old Style"/>
        </w:rPr>
        <w:t xml:space="preserve"> </w:t>
      </w:r>
      <w:r w:rsidR="00D869FA">
        <w:rPr>
          <w:rStyle w:val="style181"/>
          <w:rFonts w:ascii="Bookman Old Style" w:hAnsi="Bookman Old Style"/>
        </w:rPr>
        <w:t xml:space="preserve">Matching the online Statement to the individual purchase order lines in </w:t>
      </w:r>
      <w:r w:rsidR="008E1585">
        <w:rPr>
          <w:rStyle w:val="style181"/>
          <w:rFonts w:ascii="Bookman Old Style" w:hAnsi="Bookman Old Style"/>
        </w:rPr>
        <w:t>PeopleSoft</w:t>
      </w:r>
      <w:r w:rsidR="00D869FA">
        <w:rPr>
          <w:rStyle w:val="style181"/>
          <w:rFonts w:ascii="Bookman Old Style" w:hAnsi="Bookman Old Style"/>
        </w:rPr>
        <w:t xml:space="preserve"> is necessary to </w:t>
      </w:r>
      <w:r w:rsidR="00C128E6">
        <w:rPr>
          <w:rStyle w:val="style181"/>
          <w:rFonts w:ascii="Bookman Old Style" w:hAnsi="Bookman Old Style"/>
        </w:rPr>
        <w:t>disencumber</w:t>
      </w:r>
      <w:r w:rsidR="00D869FA">
        <w:rPr>
          <w:rStyle w:val="style181"/>
          <w:rFonts w:ascii="Bookman Old Style" w:hAnsi="Bookman Old Style"/>
        </w:rPr>
        <w:t xml:space="preserve"> the funds and subsequently close the associated purchase order.  It is the Cardholders responsibility to make sure that Encumbrance Balances on PO transactions are monitored and managed correctly.</w:t>
      </w:r>
      <w:r w:rsidRPr="00253836">
        <w:rPr>
          <w:rStyle w:val="style181"/>
          <w:rFonts w:ascii="Bookman Old Style" w:hAnsi="Bookman Old Style"/>
        </w:rPr>
        <w:t xml:space="preserve"> </w:t>
      </w:r>
    </w:p>
    <w:p w:rsidR="003E4683" w:rsidRPr="00253836" w:rsidRDefault="00B153D9" w:rsidP="00872B18">
      <w:pPr>
        <w:pStyle w:val="content"/>
        <w:numPr>
          <w:ilvl w:val="0"/>
          <w:numId w:val="2"/>
        </w:numPr>
        <w:rPr>
          <w:rStyle w:val="style181"/>
          <w:rFonts w:ascii="Bookman Old Style" w:hAnsi="Bookman Old Style"/>
        </w:rPr>
      </w:pPr>
      <w:r w:rsidRPr="00872B18">
        <w:rPr>
          <w:rStyle w:val="style181"/>
          <w:rFonts w:ascii="Bookman Old Style" w:hAnsi="Bookman Old Style"/>
          <w:color w:val="auto"/>
          <w:sz w:val="20"/>
          <w:szCs w:val="20"/>
        </w:rPr>
        <w:t>Once an order has been received, complete a REQUISITION form f</w:t>
      </w:r>
      <w:r w:rsidR="003E4683" w:rsidRPr="00872B18">
        <w:rPr>
          <w:rStyle w:val="style181"/>
          <w:rFonts w:ascii="Bookman Old Style" w:hAnsi="Bookman Old Style"/>
          <w:color w:val="auto"/>
          <w:sz w:val="20"/>
          <w:szCs w:val="20"/>
        </w:rPr>
        <w:t>ound on the Financial Webpage:</w:t>
      </w:r>
      <w:r w:rsidR="00BB28B7" w:rsidRPr="00253836">
        <w:rPr>
          <w:rStyle w:val="style181"/>
          <w:rFonts w:ascii="Bookman Old Style" w:hAnsi="Bookman Old Style"/>
        </w:rPr>
        <w:t xml:space="preserve"> </w:t>
      </w:r>
      <w:hyperlink r:id="rId5" w:history="1">
        <w:r w:rsidR="00BB28B7" w:rsidRPr="00253836">
          <w:rPr>
            <w:rStyle w:val="Hyperlink"/>
            <w:rFonts w:ascii="Bookman Old Style" w:hAnsi="Bookman Old Style"/>
          </w:rPr>
          <w:t>http://nba.uth.tmc.edu/resources/financial-office/index.htm</w:t>
        </w:r>
      </w:hyperlink>
      <w:r w:rsidR="00BB28B7" w:rsidRPr="00253836">
        <w:rPr>
          <w:rFonts w:ascii="Bookman Old Style" w:hAnsi="Bookman Old Style"/>
          <w:noProof/>
        </w:rPr>
        <w:drawing>
          <wp:inline distT="0" distB="0" distL="0" distR="0">
            <wp:extent cx="5895975" cy="3981450"/>
            <wp:effectExtent l="38100" t="57150" r="123825" b="9525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902" t="17635" r="8614" b="6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981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153D9" w:rsidRPr="00872B18" w:rsidRDefault="00BB28B7" w:rsidP="00777A3C">
      <w:pPr>
        <w:pStyle w:val="content"/>
        <w:numPr>
          <w:ilvl w:val="0"/>
          <w:numId w:val="2"/>
        </w:numPr>
        <w:rPr>
          <w:rStyle w:val="style181"/>
          <w:rFonts w:ascii="Bookman Old Style" w:hAnsi="Bookman Old Style"/>
          <w:sz w:val="20"/>
          <w:szCs w:val="20"/>
        </w:rPr>
      </w:pPr>
      <w:r w:rsidRPr="00872B18">
        <w:rPr>
          <w:rStyle w:val="style181"/>
          <w:rFonts w:ascii="Bookman Old Style" w:hAnsi="Bookman Old Style"/>
          <w:color w:val="auto"/>
          <w:sz w:val="20"/>
          <w:szCs w:val="20"/>
        </w:rPr>
        <w:t>E</w:t>
      </w:r>
      <w:r w:rsidR="003E4683" w:rsidRPr="00872B18">
        <w:rPr>
          <w:rStyle w:val="style181"/>
          <w:rFonts w:ascii="Bookman Old Style" w:hAnsi="Bookman Old Style"/>
          <w:color w:val="auto"/>
          <w:sz w:val="20"/>
          <w:szCs w:val="20"/>
        </w:rPr>
        <w:t>mail</w:t>
      </w:r>
      <w:r w:rsidR="00872B18" w:rsidRPr="00872B18">
        <w:rPr>
          <w:rStyle w:val="style181"/>
          <w:rFonts w:ascii="Bookman Old Style" w:hAnsi="Bookman Old Style"/>
          <w:color w:val="auto"/>
          <w:sz w:val="20"/>
          <w:szCs w:val="20"/>
        </w:rPr>
        <w:t xml:space="preserve"> or </w:t>
      </w:r>
      <w:r w:rsidRPr="00872B18">
        <w:rPr>
          <w:rStyle w:val="style181"/>
          <w:rFonts w:ascii="Bookman Old Style" w:hAnsi="Bookman Old Style"/>
          <w:color w:val="auto"/>
          <w:sz w:val="20"/>
          <w:szCs w:val="20"/>
        </w:rPr>
        <w:t>scan</w:t>
      </w:r>
      <w:r w:rsidR="00872B18" w:rsidRPr="00872B18">
        <w:rPr>
          <w:rStyle w:val="style181"/>
          <w:rFonts w:ascii="Bookman Old Style" w:hAnsi="Bookman Old Style"/>
          <w:color w:val="auto"/>
          <w:sz w:val="20"/>
          <w:szCs w:val="20"/>
        </w:rPr>
        <w:t xml:space="preserve"> the required documents to MS Procurement Group Mailbox </w:t>
      </w:r>
      <w:r w:rsidR="00777A3C">
        <w:rPr>
          <w:rStyle w:val="style181"/>
          <w:rFonts w:ascii="Bookman Old Style" w:hAnsi="Bookman Old Style"/>
          <w:color w:val="auto"/>
          <w:sz w:val="20"/>
          <w:szCs w:val="20"/>
        </w:rPr>
        <w:t xml:space="preserve">  </w:t>
      </w:r>
      <w:r w:rsidR="00872B18" w:rsidRPr="00872B18">
        <w:rPr>
          <w:rStyle w:val="style181"/>
          <w:rFonts w:ascii="Bookman Old Style" w:hAnsi="Bookman Old Style"/>
          <w:color w:val="auto"/>
          <w:sz w:val="20"/>
          <w:szCs w:val="20"/>
        </w:rPr>
        <w:t>(</w:t>
      </w:r>
      <w:hyperlink r:id="rId7" w:history="1">
        <w:r w:rsidR="00872B18" w:rsidRPr="00872B18">
          <w:rPr>
            <w:rStyle w:val="Hyperlink"/>
            <w:rFonts w:ascii="Bookman Old Style" w:hAnsi="Bookman Old Style"/>
            <w:sz w:val="20"/>
            <w:szCs w:val="20"/>
          </w:rPr>
          <w:t>MSB_Procurement@UTH.TMC.EDU</w:t>
        </w:r>
      </w:hyperlink>
      <w:r w:rsidR="00872B18" w:rsidRPr="00872B18">
        <w:rPr>
          <w:rStyle w:val="style181"/>
          <w:rFonts w:ascii="Bookman Old Style" w:hAnsi="Bookman Old Style"/>
          <w:color w:val="auto"/>
          <w:sz w:val="20"/>
          <w:szCs w:val="20"/>
        </w:rPr>
        <w:t>) or deliver to the MS Procurement Mailbox located in the Dean’s Office</w:t>
      </w:r>
      <w:r w:rsidR="00777A3C">
        <w:rPr>
          <w:rStyle w:val="style181"/>
          <w:rFonts w:ascii="Bookman Old Style" w:hAnsi="Bookman Old Style"/>
          <w:color w:val="auto"/>
          <w:sz w:val="20"/>
          <w:szCs w:val="20"/>
        </w:rPr>
        <w:t xml:space="preserve"> MSB G.</w:t>
      </w:r>
      <w:r w:rsidR="00777A3C" w:rsidRPr="00777A3C">
        <w:rPr>
          <w:rStyle w:val="style181"/>
          <w:rFonts w:ascii="Bookman Old Style" w:hAnsi="Bookman Old Style"/>
          <w:color w:val="auto"/>
          <w:sz w:val="20"/>
          <w:szCs w:val="20"/>
        </w:rPr>
        <w:t xml:space="preserve">150. </w:t>
      </w:r>
      <w:r w:rsidR="00777A3C">
        <w:rPr>
          <w:rStyle w:val="style181"/>
          <w:rFonts w:ascii="Bookman Old Style" w:hAnsi="Bookman Old Style"/>
          <w:color w:val="auto"/>
          <w:sz w:val="20"/>
          <w:szCs w:val="20"/>
        </w:rPr>
        <w:t>Daily p</w:t>
      </w:r>
      <w:r w:rsidR="00777A3C" w:rsidRPr="00777A3C">
        <w:rPr>
          <w:rStyle w:val="style181"/>
          <w:rFonts w:ascii="Bookman Old Style" w:hAnsi="Bookman Old Style"/>
          <w:color w:val="auto"/>
          <w:sz w:val="20"/>
          <w:szCs w:val="20"/>
        </w:rPr>
        <w:t>ick up at 10:00AM &amp; 2:00PM</w:t>
      </w:r>
    </w:p>
    <w:p w:rsidR="003E4683" w:rsidRPr="00872B18" w:rsidRDefault="00BB28B7" w:rsidP="00BB28B7">
      <w:pPr>
        <w:pStyle w:val="content"/>
        <w:numPr>
          <w:ilvl w:val="0"/>
          <w:numId w:val="2"/>
        </w:numPr>
        <w:rPr>
          <w:rStyle w:val="style181"/>
          <w:rFonts w:ascii="Bookman Old Style" w:hAnsi="Bookman Old Style"/>
          <w:sz w:val="20"/>
          <w:szCs w:val="20"/>
        </w:rPr>
      </w:pPr>
      <w:r w:rsidRPr="00872B18">
        <w:rPr>
          <w:rStyle w:val="style181"/>
          <w:rFonts w:ascii="Bookman Old Style" w:hAnsi="Bookman Old Style"/>
          <w:color w:val="auto"/>
          <w:sz w:val="20"/>
          <w:szCs w:val="20"/>
        </w:rPr>
        <w:lastRenderedPageBreak/>
        <w:t>Attach a packing slip (or an email stating it</w:t>
      </w:r>
      <w:r w:rsidR="00D869FA" w:rsidRPr="00872B18">
        <w:rPr>
          <w:rStyle w:val="style181"/>
          <w:rFonts w:ascii="Bookman Old Style" w:hAnsi="Bookman Old Style"/>
          <w:color w:val="auto"/>
          <w:sz w:val="20"/>
          <w:szCs w:val="20"/>
        </w:rPr>
        <w:t>ems have been received) and an I</w:t>
      </w:r>
      <w:r w:rsidRPr="00872B18">
        <w:rPr>
          <w:rStyle w:val="style181"/>
          <w:rFonts w:ascii="Bookman Old Style" w:hAnsi="Bookman Old Style"/>
          <w:color w:val="auto"/>
          <w:sz w:val="20"/>
          <w:szCs w:val="20"/>
        </w:rPr>
        <w:t>nvoice</w:t>
      </w:r>
    </w:p>
    <w:p w:rsidR="00AC2764" w:rsidRPr="00872B18" w:rsidRDefault="00253836" w:rsidP="00253836">
      <w:pPr>
        <w:pStyle w:val="content"/>
        <w:numPr>
          <w:ilvl w:val="0"/>
          <w:numId w:val="2"/>
        </w:numPr>
        <w:rPr>
          <w:rFonts w:ascii="Bookman Old Style" w:hAnsi="Bookman Old Style"/>
          <w:sz w:val="20"/>
          <w:szCs w:val="20"/>
        </w:rPr>
      </w:pPr>
      <w:r w:rsidRPr="00872B18">
        <w:rPr>
          <w:rStyle w:val="style181"/>
          <w:rFonts w:ascii="Bookman Old Style" w:hAnsi="Bookman Old Style"/>
          <w:color w:val="auto"/>
          <w:sz w:val="20"/>
          <w:szCs w:val="20"/>
        </w:rPr>
        <w:t>Remember to submit your signed monthly statement once it is received.</w:t>
      </w:r>
    </w:p>
    <w:sectPr w:rsidR="00AC2764" w:rsidRPr="00872B18" w:rsidSect="00AC27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6A8"/>
    <w:multiLevelType w:val="hybridMultilevel"/>
    <w:tmpl w:val="DEE82C80"/>
    <w:lvl w:ilvl="0" w:tplc="01346E70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b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B9E5CE7"/>
    <w:multiLevelType w:val="hybridMultilevel"/>
    <w:tmpl w:val="8654CA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1725"/>
    <w:rsid w:val="00041725"/>
    <w:rsid w:val="00123442"/>
    <w:rsid w:val="001A3F98"/>
    <w:rsid w:val="00253836"/>
    <w:rsid w:val="003E4683"/>
    <w:rsid w:val="004259AE"/>
    <w:rsid w:val="004B43B2"/>
    <w:rsid w:val="00656517"/>
    <w:rsid w:val="00740D7C"/>
    <w:rsid w:val="00777A3C"/>
    <w:rsid w:val="00872B18"/>
    <w:rsid w:val="008D10B1"/>
    <w:rsid w:val="008E1585"/>
    <w:rsid w:val="00AB588C"/>
    <w:rsid w:val="00AC2764"/>
    <w:rsid w:val="00B153D9"/>
    <w:rsid w:val="00B73426"/>
    <w:rsid w:val="00BB28B7"/>
    <w:rsid w:val="00C128E6"/>
    <w:rsid w:val="00CA4879"/>
    <w:rsid w:val="00D869FA"/>
    <w:rsid w:val="00DA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rsid w:val="0004172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</w:rPr>
  </w:style>
  <w:style w:type="paragraph" w:customStyle="1" w:styleId="intro">
    <w:name w:val="intro"/>
    <w:basedOn w:val="Normal"/>
    <w:rsid w:val="0004172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0000"/>
      <w:sz w:val="21"/>
      <w:szCs w:val="21"/>
    </w:rPr>
  </w:style>
  <w:style w:type="character" w:customStyle="1" w:styleId="style181">
    <w:name w:val="style181"/>
    <w:basedOn w:val="DefaultParagraphFont"/>
    <w:rsid w:val="00041725"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172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153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B_Procurement@UTH.TM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nba.uth.tmc.edu/resources/financial-office/index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sortiz1</dc:creator>
  <cp:keywords/>
  <dc:description/>
  <cp:lastModifiedBy>Reviewer</cp:lastModifiedBy>
  <cp:revision>2</cp:revision>
  <cp:lastPrinted>2010-03-19T16:21:00Z</cp:lastPrinted>
  <dcterms:created xsi:type="dcterms:W3CDTF">2010-09-08T18:01:00Z</dcterms:created>
  <dcterms:modified xsi:type="dcterms:W3CDTF">2010-09-08T18:01:00Z</dcterms:modified>
</cp:coreProperties>
</file>